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1A" w:rsidRDefault="00EC06C0">
      <w:pPr>
        <w:rPr>
          <w:sz w:val="48"/>
          <w:szCs w:val="48"/>
        </w:rPr>
      </w:pPr>
      <w:r w:rsidRPr="00EC06C0">
        <w:rPr>
          <w:sz w:val="48"/>
          <w:szCs w:val="48"/>
        </w:rPr>
        <w:t>MC3190-Z RFID Reader</w:t>
      </w:r>
    </w:p>
    <w:p w:rsidR="00EA6D63" w:rsidRDefault="00EA6D63">
      <w:pPr>
        <w:rPr>
          <w:sz w:val="24"/>
          <w:szCs w:val="24"/>
        </w:rPr>
      </w:pPr>
      <w:r w:rsidRPr="00EA6D63">
        <w:rPr>
          <w:sz w:val="24"/>
          <w:szCs w:val="24"/>
        </w:rPr>
        <w:t>A business-class handheld RFID reader designed specifically to extend the benefits of RFID beyond industrial spaces and into customer-facing and business environments.</w:t>
      </w:r>
    </w:p>
    <w:p w:rsidR="009B52A2" w:rsidRPr="00EA6D63" w:rsidRDefault="009B52A2">
      <w:pPr>
        <w:rPr>
          <w:sz w:val="24"/>
          <w:szCs w:val="24"/>
        </w:rPr>
      </w:pPr>
      <w:r w:rsidRPr="009B52A2">
        <w:rPr>
          <w:sz w:val="24"/>
          <w:szCs w:val="24"/>
        </w:rPr>
        <w:t>The MC3190-Z builds on with a rugged design and high performance industrial handheld with an advanced, high efficiency RFID reader engine for faster read rates and higher throughput. Add a groundbreaking new orientation-insensitive antenna and the result is a highly versatile device that is at home in customer-facing environments, from retail stores and healthcare facilities to the office.</w:t>
      </w:r>
    </w:p>
    <w:sectPr w:rsidR="009B52A2" w:rsidRPr="00EA6D63" w:rsidSect="00477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06C0"/>
    <w:rsid w:val="0047751C"/>
    <w:rsid w:val="005D2AB8"/>
    <w:rsid w:val="006D2E8C"/>
    <w:rsid w:val="009B52A2"/>
    <w:rsid w:val="00EA6D63"/>
    <w:rsid w:val="00EC0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2017-11-16T08:42:00Z</dcterms:created>
  <dcterms:modified xsi:type="dcterms:W3CDTF">2017-11-16T08:42:00Z</dcterms:modified>
</cp:coreProperties>
</file>